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180</w:t>
      </w:r>
    </w:p>
    <w:p>
      <w:r>
        <w:t>Bundesgericht (BGE), 1979-06-11, DE</w:t>
      </w:r>
    </w:p>
    <w:p>
      <w:r>
        <w:rPr>
          <w:b/>
        </w:rPr>
        <w:t xml:space="preserve">Quelle: </w:t>
      </w:r>
      <w:r>
        <w:t>https://mcp.opencaselaw.ch/entscheid/bge_105 V 180</w:t>
      </w:r>
    </w:p>
    <w:p>
      <w:r>
        <w:t>FR: ATF 105 V 180</w:t>
      </w:r>
    </w:p>
    <w:p>
      <w:r>
        <w:t>IT: DTF 105 V 180</w:t>
      </w:r>
    </w:p>
    <w:p>
      <w:pPr>
        <w:pStyle w:val="Heading2"/>
      </w:pPr>
      <w:r>
        <w:t>Regeste</w:t>
      </w:r>
    </w:p>
    <w:p>
      <w:r>
        <w:t>Regeste Art. 12 KUVG, Art. 14 Abs. 1 Vo III. Begriff der Krankheit (Zusammenfassung der Rechtsprechung). Beurteilung des Transsexualismus. (Erw. 1.) Art. 12 Abs. 2 und 5 KUVG, Art. 21 Abs. 1 Vo III. - Zulässigkeit der Subdelegation der bundesrätlichen Befugnis zur Bezeichnung der Pflichtleistungen an das Eidgenössische Departement des Innern, soweit wissenschaftlich umstrittene diagnostische oder therapeutische Massnahmen in Frage stehen (Erw. 2b). - Überprüfbarkeit der Departementsverfügung durch den Sozialversicherungsrichter (Bestätigung der Rechtsprechung; Erw. 2c). - Die operative Geschlechtsumwandlung gehört nicht zu den Pflichtleistungen der Krankenkassen (Erw. 3).</w:t>
      </w:r>
    </w:p>
    <w:p>
      <w:pPr>
        <w:pStyle w:val="Heading2"/>
      </w:pPr>
      <w:r>
        <w:t>Erwägungen</w:t>
      </w:r>
    </w:p>
    <w:p>
      <w:r>
        <w:rPr>
          <w:b/>
        </w:rPr>
        <w:t>E. 1</w:t>
      </w:r>
    </w:p>
    <w:p>
      <w:r>
        <w:t>Streitig ist die Leistungspflicht der Krankenkasse für die am 10. Februar 1976 durchgeführte operative Geschlechtsumwandlung inkl. Nachbehandlungskosten. Nach Auffassung der Vorinstanz entfällt der Anspruch auf Kassenleistungen schon deshalb, weil das Leiden, auf das der umstrittene Eingriff gerichtet war, der sogenannte Transsexualismus, keine Krankheit im Rechtssinne darstelle. a) Das KUVG setzt den Begriff der Krankheit voraus, ohne ihn zu umschreiben. Auch Art. 14 Abs. 1 Vo III hält lediglich fest, dass die Pflichtleistungen "im Falle der Krankheit" gewährt BGE 105 V 180 S. 183 werden müssten. Angesichts der vielfältigen Erscheinungsformen krankhafter Zustände und Prozesse entzieht sich denn auch der Krankheitsbegriff einer strengen juristischen Definition ( BGE 101 V 71 ). Immerhin wird man von Krankheit im Rechtssinne nur sprechen können, wenn Störungen vorliegen, die durch pathologische Vorgänge verursacht worden sind ( BGE 101 V 71 , EVGE 1968, S. 235). Im Bestreben, einen lückenlosen Versicherungsschutz in der sozialen Unfall- und Krankenversicherung zu gewährleisten, verwendet das Eidg. Versicherungsgericht in seiner neueren Praxis eine vom Unfallbegriff her gewonnene, negative Umschreibung des Krankheitsbegriffs: als Krankheit gilt danach eine Schädigung der physischen oder psychischen Gesundheit, die nicht auf einen Unfall oder dessen direkte Folgen zurückzuführen ist ( BGE 102 V 132 f. mit Hinweisen). b) Transsexualismus wird umschrieben als Drang, durch eine - meist chirurgische - Geschlechtsumwandlung dem anderen Geschlecht angehören zu können (UWE HENRIK PETERS, Wörterbuch der Psychiatrie und medizinischen Psychologie, 2. Aufl., S. 532). Diese Grundveranlagung kann, wie der im unveröffentlichten Urteil i.S. A. vom 3. September 1976 wiedergegebenen gutachtlichen Stellungnahme des Psychiaters Dr. med. K. zu entnehmen ist, sekundär zu neurotischen Fehlentwicklungen oder schweren, beispielsweise psychopathischen, den gesamten Charakter prägenden Anomalien führen. Dass bei der Beschwerdeführerin eine ernstzunehmende psychische Konfliktsituation bestand, ist nicht von der Hand zu weisen und wird u.a. dadurch bestätigt, dass seit 1974 eine psychiatrische Behandlung notwendig war. Entgegen der Auffassung der Vorinstanz ist deshalb im vorliegenden Fall der transsexuellen Veranlagung, welche zum umstrittenen Eingriff geführt hat, Krankheitswert beizumessen. Dementsprechend war die Kasse grundsätzlich verpflichtet, im Rahmen ihrer gesetzlichen und statutarischen Leistungspflicht für die Behandlung des Leidens aufzukommen.</w:t>
      </w:r>
    </w:p>
    <w:p>
      <w:r>
        <w:rPr>
          <w:b/>
        </w:rPr>
        <w:t>E. 2</w:t>
      </w:r>
    </w:p>
    <w:p>
      <w:r>
        <w:t>a) Gemäss Art. 12 Abs. 2 KUVG haben die Krankenkassen sowohl bei ambulanter Behandlung (Ziff. 1) als auch bei einem Aufenthalt in einer Heilanstalt (Ziff. 2) u.a. für die ärztliche Behandlung und die wissenschaftlich anerkannten Heilanwendungen aufzukommen. Abs. 5 dieses Artikels ermächtigt den Bundesrat, nach Anhören einer von ihm bestellten Fachkommission (Art. 26 Vo III) die gemäss den vorgenannten Bestimmungen BGE 105 V 180 S. 184 als ärztliche Behandlung und wissenschaftlich anerkannte Heilanwendungen zu übernehmenden Leistungen zu bezeichnen. Nach Art. 21 Abs. 1 Vo III umfasst die zur gesetzlichen Pflichtleistung gehörende ärztliche Behandlung die vom Arzt vorgenommenen wissenschaftlich anerkannten diagnostischen und therapeutischen Massnahmen. Soweit es sich um wissenschaftlich umstrittene Massnahmen handelt, hat der Bundesrat den Entscheid, ob diese als Pflichtleistungen zu übernehmen sind, an das Eidgenössische Departement des Innern delegiert (2. Satz). Gestützt darauf und nach Einsichtnahme in den Entscheid der Eidgenössischen Fachkommission für allgemeine Leistungen der Krankenversicherung vom 13. Mai 1976 hat das Eidgenössische Departement des Innern am 24. November 1976 verfügt, dass die operative Geschlechtsumwandlung keine Pflichtleistungen der vom Bunde anerkannten Krankenkassen begründe (vgl. RSKV 1976, S. 217 f.). Es fragt sich, ob und inwieweit diese Verfügung den Sozialversicherungsrichter bei der Beurteilung der vorliegenden Streitfrage bindet. b) Die Beschwerdeführerin vertritt den Standpunkt, die Verbindlichkeit des Departementsentscheids müsse schon deshalb in Frage gestellt werden, weil er auf einer unzulässigen Subdelegation beruhe. Dieser Einwand ist nicht stichhaltig. Wie die Eidgenössische Justizabteilung in ihrem Schreiben vom 18. April 1977 zutreffend festgehalten hat, stellt der fragliche Erlass des Eidgenössischen Departements des Innern, obwohl als "Verfügung" bezeichnet, eine generell-abstrakte Norm, einen Rechtssatz dar. Gemäss Rechtsprechung ist die Subdelegation von Rechtssetzungsbefugnissen an ein Departement zulässig, wenn sie sich auf Vorschriften vorwiegend technischer Natur bezieht und kein Rechtsgrundsatz - namentlich des Verfassungsrechts - in Frage steht ( BGE 101 Ib 74 f. mit Hinweisen; 105 V 23 ). Unter diesem Gesichtswinkel ist es nicht zu beanstanden, wenn der Bundesrat in Art. 21 Abs. 1 Vo III die ihm übertragene Kompetenz zur Bezeichnung der Pflichtleistungen, soweit es sich um wissenschaftlich umstrittene diagnostische und therapeutische Massnahmen handelt, an das Eidgenössische Departement des Innern subdelegiert hat. c) Bei den auf Grund der erwähnten Subdelegation erlassenen Verfügungen des Eidgenössischen Departements des Innern betreffend Pflichtleistungen nach Art. 12 Abs. 5 KUVG BGE 105 V 180 S. 185 handelt es sich demnach um Rechtsverordnungen, die als solche für den Richter verbindlich sind, ausser sie würden sich als nicht gesetzeskonform erweisen. Dabei muss dem Eidgenössischen Departement des Innern, das sich seinerseits durch eine Fachkommission beraten lässt, in der Frage, ob bestimmte ärztliche Behandlungen oder Heilanwendungen als wissenschaftlich anerkannt zu gelten haben, ein gewisser Beurteilungsspielraum zuerkannt werden. Der Sozialversicherungsrichter wird deshalb eine solche Verfügung nur dann als gesetzwidrig bezeichnen und ihr die Anwendung versagen, wenn sie auf einer klaren Fehlbeurteilung beruht, d.h. insbesondere im Falle einer willkürlichen Beurteilung der Frage der wissenschaftlichen Anerkennung einer Massnahme (vgl. das in RSKV 1970 Nr. 59 veröffentlichte Urteil Agnolini vom 29. Dezember 1969).</w:t>
      </w:r>
    </w:p>
    <w:p>
      <w:r>
        <w:rPr>
          <w:b/>
        </w:rPr>
        <w:t>E. 3</w:t>
      </w:r>
    </w:p>
    <w:p>
      <w:r>
        <w:t>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(EVGE 1962, S. 116, unveröffentlichtes Urteil vom 26. April 1974 in Sachen Flückiger, vgl. auch BGE 102 V 76 ). Obwohl mit einer operativen Geschlechtsumwandlung physische Änderungen vorgenommen werden, zielt dieser Eingriff ausschliesslich auf die Behandlung eines psychischen Leidens. Was die längerfristigen Erfolgsaussichten betrifft, finden sich indes in der einschlägigen Fachliteratur skeptische Stimmen (vgl. z.B. BLEULER, Lehrbuch der Psychiatrie, 12. Aufl., S. 570), weshalb das Eidgenössische Departement des Innern weder den Rahmen der Kompetenzdelegation nach Art. 12 Abs. 5 KUVG gesprengt noch von seiner Kompetenz willkürlichen Gebrauch gemacht hat, wenn es aus den in RSKV 1976, S. 217 f. dargelegten Gründen die operative Geschlechtsumwandlung von den Pflichtleistungen ausgenommen hat. Das Eidg. Versicherungsgericht hat deshalb keinen Anlass, die Verfügung als gesetzwidrig zu erklären und sie deswegen nicht anzuwenden.</w:t>
      </w:r>
    </w:p>
    <w:p>
      <w:r>
        <w:rPr>
          <w:b/>
        </w:rPr>
        <w:t>E. 4</w:t>
      </w:r>
    </w:p>
    <w:p>
      <w:r>
        <w:t>Die statutarische Leistungspflicht der Kasse geht im vorliegenden Fall nicht über das gesetzlich gebotene Mass hinaus, so dass auch aus dieser Sicht kein Anspruch auf Übernahme der Kosten der durchgeführten Geschlechtsumwandlungsoperation BGE 105 V 180 S. 186 besteht (Art. 6 Ziff. 1 lit. b des Leistungsreglements).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